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7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2"/>
            <w:shd w:val="clear" w:color="auto" w:fill="auto"/>
            <w:vAlign w:val="center"/>
          </w:tcPr>
          <w:p>
            <w:pPr>
              <w:spacing w:line="276" w:lineRule="auto"/>
              <w:jc w:val="center"/>
              <w:rPr>
                <w:rFonts w:ascii="宋体" w:hAnsi="宋体" w:eastAsia="宋体" w:cs="宋体"/>
                <w:b w:val="0"/>
                <w:bCs w:val="0"/>
                <w:szCs w:val="21"/>
                <w:highlight w:val="none"/>
              </w:rPr>
            </w:pPr>
            <w:r>
              <w:rPr>
                <w:rFonts w:hint="eastAsia" w:ascii="宋体" w:hAnsi="宋体" w:eastAsia="宋体" w:cs="宋体"/>
                <w:b/>
                <w:bCs/>
                <w:szCs w:val="21"/>
                <w:highlight w:val="none"/>
              </w:rPr>
              <w:t>供气消防车技术参数及要求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2"/>
            <w:shd w:val="clear" w:color="auto" w:fill="auto"/>
            <w:vAlign w:val="center"/>
          </w:tcPr>
          <w:p>
            <w:pPr>
              <w:spacing w:line="276" w:lineRule="auto"/>
              <w:rPr>
                <w:rFonts w:ascii="宋体" w:hAnsi="宋体" w:eastAsia="宋体" w:cs="宋体"/>
                <w:b w:val="0"/>
                <w:bCs w:val="0"/>
                <w:szCs w:val="21"/>
                <w:highlight w:val="none"/>
              </w:rPr>
            </w:pPr>
            <w:r>
              <w:rPr>
                <w:rFonts w:hint="eastAsia" w:ascii="宋体" w:hAnsi="宋体" w:eastAsia="宋体" w:cs="宋体"/>
                <w:b/>
                <w:bCs/>
                <w:szCs w:val="21"/>
                <w:highlight w:val="none"/>
              </w:rPr>
              <w:t>数量：  辆，预算：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000" w:type="pct"/>
            <w:gridSpan w:val="2"/>
            <w:shd w:val="clear" w:color="auto" w:fill="auto"/>
            <w:vAlign w:val="center"/>
          </w:tcPr>
          <w:p>
            <w:pPr>
              <w:spacing w:line="276" w:lineRule="auto"/>
              <w:rPr>
                <w:rFonts w:ascii="宋体" w:hAnsi="宋体" w:eastAsia="宋体" w:cs="宋体"/>
                <w:b w:val="0"/>
                <w:bCs w:val="0"/>
                <w:szCs w:val="21"/>
                <w:highlight w:val="none"/>
              </w:rPr>
            </w:pPr>
            <w:r>
              <w:rPr>
                <w:rFonts w:hint="eastAsia" w:ascii="宋体" w:hAnsi="宋体" w:eastAsia="宋体" w:cs="宋体"/>
                <w:b/>
                <w:bCs/>
                <w:szCs w:val="21"/>
                <w:highlight w:val="none"/>
              </w:rPr>
              <w:t>（一）整车参数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1</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▲外廓尺寸：≤11000mm×2550mm×3900mm。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2</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整备质量:≤22</w:t>
            </w:r>
            <w:r>
              <w:rPr>
                <w:rFonts w:hint="eastAsia" w:ascii="宋体" w:hAnsi="宋体" w:eastAsia="宋体" w:cs="宋体"/>
                <w:szCs w:val="21"/>
                <w:highlight w:val="none"/>
                <w:lang w:val="en-US" w:eastAsia="zh-CN"/>
              </w:rPr>
              <w:t>2</w:t>
            </w:r>
            <w:r>
              <w:rPr>
                <w:rFonts w:hint="eastAsia" w:ascii="宋体" w:hAnsi="宋体" w:eastAsia="宋体" w:cs="宋体"/>
                <w:szCs w:val="21"/>
                <w:highlight w:val="none"/>
              </w:rPr>
              <w:t>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3</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▲满载质量：≥22300kg。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4</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▲质心高度（满载）:</w:t>
            </w:r>
            <w:r>
              <w:rPr>
                <w:rFonts w:hint="eastAsia"/>
                <w:highlight w:val="none"/>
              </w:rPr>
              <w:t xml:space="preserve"> </w:t>
            </w:r>
            <w:r>
              <w:rPr>
                <w:rFonts w:hint="eastAsia" w:ascii="宋体" w:hAnsi="宋体" w:eastAsia="宋体" w:cs="宋体"/>
                <w:szCs w:val="21"/>
                <w:highlight w:val="none"/>
              </w:rPr>
              <w:t>≤15</w:t>
            </w:r>
            <w:r>
              <w:rPr>
                <w:rFonts w:hint="eastAsia" w:ascii="宋体" w:hAnsi="宋体" w:eastAsia="宋体" w:cs="宋体"/>
                <w:szCs w:val="21"/>
                <w:highlight w:val="none"/>
                <w:lang w:val="en-US" w:eastAsia="zh-CN"/>
              </w:rPr>
              <w:t>0</w:t>
            </w:r>
            <w:r>
              <w:rPr>
                <w:rFonts w:hint="eastAsia" w:ascii="宋体" w:hAnsi="宋体" w:eastAsia="宋体" w:cs="宋体"/>
                <w:szCs w:val="21"/>
                <w:highlight w:val="none"/>
              </w:rPr>
              <w:t>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5</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接近角/离去角:≥1</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6</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▲最小转弯直径（左转/右转）：≤23m/23m。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shd w:val="clear" w:color="auto" w:fill="auto"/>
            <w:vAlign w:val="center"/>
          </w:tcPr>
          <w:p>
            <w:pPr>
              <w:spacing w:line="276" w:lineRule="auto"/>
              <w:rPr>
                <w:rFonts w:ascii="宋体" w:hAnsi="宋体" w:eastAsia="宋体" w:cs="宋体"/>
                <w:b w:val="0"/>
                <w:bCs w:val="0"/>
                <w:szCs w:val="21"/>
                <w:highlight w:val="none"/>
              </w:rPr>
            </w:pPr>
            <w:bookmarkStart w:id="0" w:name="_Hlk66870682"/>
            <w:r>
              <w:rPr>
                <w:rFonts w:hint="eastAsia" w:ascii="宋体" w:hAnsi="宋体" w:eastAsia="宋体" w:cs="宋体"/>
                <w:b/>
                <w:bCs/>
                <w:szCs w:val="21"/>
                <w:highlight w:val="none"/>
              </w:rPr>
              <w:t>（二）底盘参数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bookmarkStart w:id="1" w:name="_Hlk66870645"/>
            <w:r>
              <w:rPr>
                <w:rFonts w:hint="eastAsia" w:ascii="宋体" w:hAnsi="宋体" w:eastAsia="宋体" w:cs="宋体"/>
                <w:b w:val="0"/>
                <w:bCs w:val="0"/>
                <w:szCs w:val="21"/>
                <w:highlight w:val="none"/>
              </w:rPr>
              <w:t>1</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驱动型式：4×2或6×</w:t>
            </w:r>
            <w:r>
              <w:rPr>
                <w:rFonts w:ascii="宋体" w:hAnsi="宋体" w:eastAsia="宋体" w:cs="宋体"/>
                <w:szCs w:val="21"/>
                <w:highlight w:val="none"/>
              </w:rPr>
              <w:t>4</w:t>
            </w:r>
            <w:r>
              <w:rPr>
                <w:rFonts w:hint="eastAsia" w:ascii="宋体" w:hAnsi="宋体" w:eastAsia="宋体" w:cs="宋体"/>
                <w:szCs w:val="21"/>
                <w:highlight w:val="none"/>
              </w:rPr>
              <w:t>。</w:t>
            </w:r>
          </w:p>
        </w:tc>
      </w:tr>
      <w:bookmarkEnd w:id="0"/>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2</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最大扭矩：≥800 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3</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最高车速：≥90km/h。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4</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▲额定功率：≥170kW。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5</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座椅驾乘员人数：≥2人。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6</w:t>
            </w:r>
          </w:p>
        </w:tc>
        <w:tc>
          <w:tcPr>
            <w:tcW w:w="4639" w:type="pct"/>
            <w:shd w:val="clear" w:color="auto" w:fill="auto"/>
            <w:vAlign w:val="center"/>
          </w:tcPr>
          <w:p>
            <w:pPr>
              <w:spacing w:line="276" w:lineRule="auto"/>
              <w:rPr>
                <w:rFonts w:hint="eastAsia" w:ascii="宋体" w:hAnsi="宋体" w:eastAsia="宋体" w:cs="宋体"/>
                <w:szCs w:val="21"/>
                <w:highlight w:val="none"/>
                <w:lang w:val="en-US" w:eastAsia="zh-CN"/>
              </w:rPr>
            </w:pPr>
            <w:r>
              <w:rPr>
                <w:rFonts w:hint="eastAsia" w:ascii="宋体" w:hAnsi="宋体" w:eastAsia="宋体" w:cs="宋体"/>
                <w:szCs w:val="21"/>
                <w:highlight w:val="none"/>
              </w:rPr>
              <w:t>变速器型式：手动</w:t>
            </w:r>
            <w:r>
              <w:rPr>
                <w:rFonts w:hint="eastAsia" w:ascii="宋体" w:hAnsi="宋体" w:eastAsia="宋体" w:cs="宋体"/>
                <w:szCs w:val="21"/>
                <w:highlight w:val="none"/>
                <w:lang w:val="en-US" w:eastAsia="zh-CN"/>
              </w:rPr>
              <w:t>档或</w:t>
            </w:r>
            <w:r>
              <w:rPr>
                <w:rFonts w:hint="eastAsia" w:ascii="宋体" w:hAnsi="宋体" w:eastAsia="宋体" w:cs="宋体"/>
                <w:szCs w:val="21"/>
                <w:highlight w:val="none"/>
              </w:rPr>
              <w:t>自动</w:t>
            </w:r>
            <w:r>
              <w:rPr>
                <w:rFonts w:hint="eastAsia" w:ascii="宋体" w:hAnsi="宋体" w:eastAsia="宋体" w:cs="宋体"/>
                <w:szCs w:val="21"/>
                <w:highlight w:val="none"/>
                <w:lang w:val="en-US" w:eastAsia="zh-CN"/>
              </w:rPr>
              <w:t>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shd w:val="clear" w:color="auto" w:fill="auto"/>
            <w:vAlign w:val="center"/>
          </w:tcPr>
          <w:p>
            <w:pPr>
              <w:rPr>
                <w:rFonts w:ascii="宋体" w:hAnsi="宋体" w:eastAsia="宋体" w:cs="宋体"/>
                <w:b/>
                <w:bCs/>
                <w:szCs w:val="21"/>
                <w:highlight w:val="none"/>
              </w:rPr>
            </w:pPr>
            <w:r>
              <w:rPr>
                <w:rFonts w:hint="eastAsia" w:ascii="宋体" w:hAnsi="宋体" w:eastAsia="宋体" w:cs="宋体"/>
                <w:b/>
                <w:bCs/>
                <w:szCs w:val="21"/>
                <w:highlight w:val="none"/>
              </w:rPr>
              <w:t>（三）车厢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ascii="宋体" w:hAnsi="宋体" w:eastAsia="宋体" w:cs="宋体"/>
                <w:b w:val="0"/>
                <w:bCs w:val="0"/>
                <w:szCs w:val="21"/>
                <w:highlight w:val="none"/>
              </w:rPr>
              <w:t>1</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结构：车厢的骨架为全铝合金框架焊接式结构，外蒙皮为铝合金板粘接技术；车厢内器材骨架采用铝合金型材搭接结构，能根据客户要求灵活布局器材箱结构最大限度地提高空间利用率，在器材箱内可选用新型滑动托架、拖板或高强度的塑料存放盒等存放结构，充分利用车厢内部有限空间；内饰板和底板均为光面拉丝铝合金板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ascii="宋体" w:hAnsi="宋体" w:eastAsia="宋体" w:cs="宋体"/>
                <w:b w:val="0"/>
                <w:bCs w:val="0"/>
                <w:szCs w:val="21"/>
                <w:highlight w:val="none"/>
              </w:rPr>
              <w:t>2</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后爬梯：消防车爬梯的梯蹬间距不大于 300 mm，最低梯蹬距地面不大于 450 mm，深度不小于 150 mm；消防车爬梯的梯蹬宽度不小于 250 mm，梯蹬在 50 mm宽度上承受 300 kg 载荷不发生断裂。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3</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器材箱门应具有锁止功能，在人员需进出或取放设备、器具时能方便开启，在车辆运行和不使用时不应自行启闭。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shd w:val="clear" w:color="auto" w:fill="auto"/>
            <w:vAlign w:val="center"/>
          </w:tcPr>
          <w:p>
            <w:pPr>
              <w:spacing w:line="276" w:lineRule="auto"/>
              <w:rPr>
                <w:rFonts w:ascii="宋体" w:hAnsi="宋体" w:eastAsia="宋体" w:cs="宋体"/>
                <w:b w:val="0"/>
                <w:bCs w:val="0"/>
                <w:szCs w:val="21"/>
                <w:highlight w:val="none"/>
              </w:rPr>
            </w:pPr>
            <w:r>
              <w:rPr>
                <w:rFonts w:hint="eastAsia" w:ascii="宋体" w:hAnsi="宋体" w:eastAsia="宋体" w:cs="宋体"/>
                <w:b/>
                <w:bCs/>
                <w:szCs w:val="21"/>
                <w:highlight w:val="none"/>
              </w:rPr>
              <w:t>（四）储气系统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1</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▲钢瓶数量：≥</w:t>
            </w:r>
            <w:r>
              <w:rPr>
                <w:rFonts w:ascii="宋体" w:hAnsi="宋体" w:eastAsia="宋体" w:cs="宋体"/>
                <w:szCs w:val="21"/>
                <w:highlight w:val="none"/>
              </w:rPr>
              <w:t>1</w:t>
            </w:r>
            <w:r>
              <w:rPr>
                <w:rFonts w:hint="eastAsia" w:ascii="宋体" w:hAnsi="宋体" w:eastAsia="宋体" w:cs="宋体"/>
                <w:szCs w:val="21"/>
                <w:highlight w:val="none"/>
              </w:rPr>
              <w:t>6支。</w:t>
            </w: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2</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单只水容积：≥50L。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3</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▲储气瓶组总容积:≥8</w:t>
            </w:r>
            <w:r>
              <w:rPr>
                <w:rFonts w:ascii="宋体" w:hAnsi="宋体" w:eastAsia="宋体" w:cs="宋体"/>
                <w:szCs w:val="21"/>
                <w:highlight w:val="none"/>
              </w:rPr>
              <w:t>00</w:t>
            </w:r>
            <w:r>
              <w:rPr>
                <w:rFonts w:hint="eastAsia" w:ascii="宋体" w:hAnsi="宋体" w:eastAsia="宋体" w:cs="宋体"/>
                <w:szCs w:val="21"/>
                <w:highlight w:val="none"/>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ascii="宋体" w:hAnsi="宋体" w:eastAsia="宋体" w:cs="宋体"/>
                <w:b w:val="0"/>
                <w:bCs w:val="0"/>
                <w:szCs w:val="21"/>
                <w:highlight w:val="none"/>
              </w:rPr>
              <w:t>4</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储气瓶组工作压力为：≥35MPa。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shd w:val="clear" w:color="auto" w:fill="auto"/>
            <w:vAlign w:val="center"/>
          </w:tcPr>
          <w:p>
            <w:pPr>
              <w:spacing w:line="276" w:lineRule="auto"/>
              <w:rPr>
                <w:rFonts w:ascii="宋体" w:hAnsi="宋体" w:eastAsia="宋体" w:cs="宋体"/>
                <w:b w:val="0"/>
                <w:bCs w:val="0"/>
                <w:szCs w:val="21"/>
                <w:highlight w:val="none"/>
              </w:rPr>
            </w:pPr>
            <w:r>
              <w:rPr>
                <w:rFonts w:hint="eastAsia" w:ascii="宋体" w:hAnsi="宋体" w:eastAsia="宋体" w:cs="宋体"/>
                <w:b/>
                <w:bCs/>
                <w:szCs w:val="21"/>
                <w:highlight w:val="none"/>
              </w:rPr>
              <w:t>（五）充气控制系统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ascii="宋体" w:hAnsi="宋体" w:eastAsia="宋体" w:cs="宋体"/>
                <w:b w:val="0"/>
                <w:bCs w:val="0"/>
                <w:szCs w:val="21"/>
                <w:highlight w:val="none"/>
              </w:rPr>
              <w:t>1</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▲空气充填防爆箱:≥2。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2</w:t>
            </w:r>
          </w:p>
        </w:tc>
        <w:tc>
          <w:tcPr>
            <w:tcW w:w="4639" w:type="pct"/>
            <w:shd w:val="clear" w:color="auto" w:fill="auto"/>
            <w:vAlign w:val="center"/>
          </w:tcPr>
          <w:p>
            <w:pPr>
              <w:spacing w:line="276" w:lineRule="auto"/>
              <w:rPr>
                <w:rFonts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充气位数量</w:t>
            </w:r>
            <w:r>
              <w:rPr>
                <w:rFonts w:hint="eastAsia" w:ascii="宋体" w:hAnsi="宋体" w:eastAsia="宋体" w:cs="宋体"/>
                <w:color w:val="auto"/>
                <w:szCs w:val="21"/>
                <w:highlight w:val="none"/>
              </w:rPr>
              <w:t>：≥8只。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ascii="宋体" w:hAnsi="宋体" w:eastAsia="宋体" w:cs="宋体"/>
                <w:b w:val="0"/>
                <w:bCs w:val="0"/>
                <w:szCs w:val="21"/>
                <w:highlight w:val="none"/>
              </w:rPr>
              <w:t>3</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应在操作人员可见处标出压缩空气从空压机至钢瓶组和正压式空气呼吸器瓶（以下 简称气瓶）的流向和设施简图，尺寸不应小于 400 mm×200 mm 或面积不应小于 800 cm2。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4</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操作处的噪声不应大于 95 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5</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供气车高温或高速旋转部件应设防护措施。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6</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供气系统各仪表、阀门等部件功能和状态均应标识清晰。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7</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 xml:space="preserve">供气系统各部件应便于操作、更换、检查、设定和维修。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8</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高压硬管管路应每隔 400 mm 进行固定，高压管路若有交叉，交叉处不应相互接触。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9</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空压机用安全阀应符合 JB/T 6441—2008 的规定，空压机每级后应安装安全阀。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10</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空压机出现润滑油油位或油压过低、排气温度高于规定值、排气压力高于规定上限值等情况应自动停止空压机且能避免自动重新启动，并有声光报警。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11</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空压机应配备下列设备或显示功能：a）控制最大工作压力和空压机起停的压力传感器；b)每个压缩级后的级间压力指示装置；c)排气压力指示装置；d)压力润滑空压机的油压表或非压力润滑空压机的油位指示器或油位开关；e)电子非可复位式计时器；f）紧急停机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12</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应在明显位置处设置标识，内容为“高压___MPa 呼吸空气”。在操作人员可见处永久固定具有以下内容的标牌：a）钢瓶的水压试验周期；b）钢瓶的外部检查周期；c）钢瓶的内部检查周期；d）压力表、安全阀的校准周期。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13</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 xml:space="preserve">充气防护箱应设减压阀和安全阀，减压阀应有避免误操作的措施，并设置永久固定警示标牌。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14</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充气防护箱钢板厚度不应小于 5 mm，其结构应能将气流导向远离人员的方向，并直接排向车体外部。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15</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充气防护箱应具有安全锁止功能和防止误开功能，充气防护箱门打开后应能自动切断气源。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16</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当气瓶充满时，应有声光报警信号。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17</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空气净化装置应配备空气品质检测仪。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1</w:t>
            </w:r>
            <w:r>
              <w:rPr>
                <w:rFonts w:ascii="宋体" w:hAnsi="宋体" w:eastAsia="宋体" w:cs="宋体"/>
                <w:b w:val="0"/>
                <w:bCs w:val="0"/>
                <w:szCs w:val="21"/>
                <w:highlight w:val="none"/>
              </w:rPr>
              <w:t>8</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净化系统应便于更换滤芯。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1</w:t>
            </w:r>
            <w:r>
              <w:rPr>
                <w:rFonts w:ascii="宋体" w:hAnsi="宋体" w:eastAsia="宋体" w:cs="宋体"/>
                <w:b w:val="0"/>
                <w:bCs w:val="0"/>
                <w:szCs w:val="21"/>
                <w:highlight w:val="none"/>
              </w:rPr>
              <w:t>9</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★空气压缩机总排量:≥120m³/h。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2</w:t>
            </w:r>
            <w:r>
              <w:rPr>
                <w:rFonts w:ascii="宋体" w:hAnsi="宋体" w:eastAsia="宋体" w:cs="宋体"/>
                <w:b w:val="0"/>
                <w:bCs w:val="0"/>
                <w:szCs w:val="21"/>
                <w:highlight w:val="none"/>
              </w:rPr>
              <w:t>0</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▲自动停机压力:≥33Mpa。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2</w:t>
            </w:r>
            <w:r>
              <w:rPr>
                <w:rFonts w:ascii="宋体" w:hAnsi="宋体" w:eastAsia="宋体" w:cs="宋体"/>
                <w:b w:val="0"/>
                <w:bCs w:val="0"/>
                <w:szCs w:val="21"/>
                <w:highlight w:val="none"/>
              </w:rPr>
              <w:t>1</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▲单个6.8L气瓶由空压机直接充气:≤1</w:t>
            </w:r>
            <w:r>
              <w:rPr>
                <w:rFonts w:hint="eastAsia" w:ascii="宋体" w:hAnsi="宋体" w:eastAsia="宋体" w:cs="宋体"/>
                <w:szCs w:val="21"/>
                <w:highlight w:val="none"/>
                <w:lang w:val="en-US" w:eastAsia="zh-CN"/>
              </w:rPr>
              <w:t>7</w:t>
            </w:r>
            <w:r>
              <w:rPr>
                <w:rFonts w:hint="eastAsia" w:ascii="宋体" w:hAnsi="宋体" w:eastAsia="宋体" w:cs="宋体"/>
                <w:szCs w:val="21"/>
                <w:highlight w:val="none"/>
              </w:rPr>
              <w:t>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2</w:t>
            </w:r>
            <w:r>
              <w:rPr>
                <w:rFonts w:ascii="宋体" w:hAnsi="宋体" w:eastAsia="宋体" w:cs="宋体"/>
                <w:b w:val="0"/>
                <w:bCs w:val="0"/>
                <w:szCs w:val="21"/>
                <w:highlight w:val="none"/>
              </w:rPr>
              <w:t>2</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▲单个6.8L气瓶由空气储存装置充气:≥120s。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shd w:val="clear" w:color="auto" w:fill="auto"/>
            <w:vAlign w:val="center"/>
          </w:tcPr>
          <w:p>
            <w:pPr>
              <w:spacing w:line="276" w:lineRule="auto"/>
              <w:rPr>
                <w:rFonts w:ascii="宋体" w:hAnsi="宋体" w:eastAsia="宋体" w:cs="宋体"/>
                <w:b w:val="0"/>
                <w:bCs w:val="0"/>
                <w:szCs w:val="21"/>
                <w:highlight w:val="none"/>
              </w:rPr>
            </w:pPr>
            <w:r>
              <w:rPr>
                <w:rFonts w:hint="eastAsia" w:ascii="宋体" w:hAnsi="宋体" w:eastAsia="宋体" w:cs="宋体"/>
                <w:b/>
                <w:bCs/>
                <w:szCs w:val="21"/>
                <w:highlight w:val="none"/>
              </w:rPr>
              <w:t>（六）发电机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1</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额定功率：≥10k</w:t>
            </w:r>
            <w:r>
              <w:rPr>
                <w:rFonts w:ascii="宋体" w:hAnsi="宋体" w:eastAsia="宋体" w:cs="宋体"/>
                <w:szCs w:val="21"/>
                <w:highlight w:val="none"/>
              </w:rPr>
              <w:t>W</w:t>
            </w:r>
            <w:r>
              <w:rPr>
                <w:rFonts w:hint="eastAsia" w:ascii="宋体" w:hAnsi="宋体" w:eastAsia="宋体" w:cs="宋体"/>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2</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电压：220/380V。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3</w:t>
            </w:r>
          </w:p>
        </w:tc>
        <w:tc>
          <w:tcPr>
            <w:tcW w:w="4639" w:type="pct"/>
            <w:shd w:val="clear" w:color="auto" w:fill="auto"/>
            <w:vAlign w:val="center"/>
          </w:tcPr>
          <w:p>
            <w:pPr>
              <w:rPr>
                <w:rFonts w:ascii="宋体" w:hAnsi="宋体" w:eastAsia="宋体" w:cs="宋体"/>
                <w:szCs w:val="21"/>
                <w:highlight w:val="none"/>
              </w:rPr>
            </w:pPr>
            <w:r>
              <w:rPr>
                <w:rFonts w:hint="eastAsia" w:ascii="宋体" w:hAnsi="宋体" w:eastAsia="宋体" w:cs="宋体"/>
                <w:szCs w:val="21"/>
                <w:highlight w:val="none"/>
              </w:rPr>
              <w:t>频率：≥50Hz。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shd w:val="clear" w:color="auto" w:fill="auto"/>
            <w:vAlign w:val="center"/>
          </w:tcPr>
          <w:p>
            <w:pPr>
              <w:spacing w:line="276" w:lineRule="auto"/>
              <w:rPr>
                <w:rFonts w:ascii="宋体" w:hAnsi="宋体" w:eastAsia="宋体" w:cs="宋体"/>
                <w:b w:val="0"/>
                <w:bCs w:val="0"/>
                <w:szCs w:val="21"/>
                <w:highlight w:val="none"/>
              </w:rPr>
            </w:pPr>
            <w:r>
              <w:rPr>
                <w:rFonts w:hint="eastAsia" w:ascii="宋体" w:hAnsi="宋体" w:eastAsia="宋体" w:cs="宋体"/>
                <w:b/>
                <w:bCs/>
                <w:szCs w:val="21"/>
                <w:highlight w:val="none"/>
              </w:rPr>
              <w:t>（七）气动升降照明系统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1</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照明系统灯具离地高度：≥7m。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2</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照明系统灯具上升时间:≤64s。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3</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照明系统灯具仰角:≥190°。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6</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灯具工作电压：220V。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7</w:t>
            </w:r>
          </w:p>
        </w:tc>
        <w:tc>
          <w:tcPr>
            <w:tcW w:w="4639" w:type="pct"/>
            <w:shd w:val="clear" w:color="auto" w:fill="auto"/>
            <w:vAlign w:val="center"/>
          </w:tcPr>
          <w:p>
            <w:pPr>
              <w:spacing w:line="276" w:lineRule="auto"/>
              <w:rPr>
                <w:rFonts w:ascii="宋体" w:hAnsi="宋体" w:eastAsia="宋体" w:cs="宋体"/>
                <w:szCs w:val="21"/>
                <w:highlight w:val="none"/>
              </w:rPr>
            </w:pPr>
            <w:r>
              <w:rPr>
                <w:rFonts w:hint="eastAsia" w:ascii="宋体" w:hAnsi="宋体" w:eastAsia="宋体" w:cs="宋体"/>
                <w:szCs w:val="21"/>
                <w:highlight w:val="none"/>
              </w:rPr>
              <w:t>照明系统在50m处各测试点照度均不应小于5 lx。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8</w:t>
            </w:r>
          </w:p>
        </w:tc>
        <w:tc>
          <w:tcPr>
            <w:tcW w:w="4639" w:type="pct"/>
            <w:shd w:val="clear" w:color="auto" w:fill="auto"/>
            <w:vAlign w:val="center"/>
          </w:tcPr>
          <w:p>
            <w:pPr>
              <w:jc w:val="left"/>
              <w:rPr>
                <w:rFonts w:ascii="宋体" w:hAnsi="宋体" w:eastAsia="宋体" w:cs="宋体"/>
                <w:szCs w:val="21"/>
                <w:highlight w:val="none"/>
              </w:rPr>
            </w:pPr>
            <w:r>
              <w:rPr>
                <w:rFonts w:hint="eastAsia" w:ascii="宋体" w:hAnsi="宋体" w:eastAsia="宋体" w:cs="宋体"/>
                <w:szCs w:val="21"/>
                <w:highlight w:val="none"/>
              </w:rPr>
              <w:t>灯具水平旋转角度：360°。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9</w:t>
            </w:r>
          </w:p>
        </w:tc>
        <w:tc>
          <w:tcPr>
            <w:tcW w:w="4639" w:type="pct"/>
            <w:shd w:val="clear" w:color="auto" w:fill="auto"/>
            <w:vAlign w:val="center"/>
          </w:tcPr>
          <w:p>
            <w:pPr>
              <w:jc w:val="left"/>
              <w:rPr>
                <w:rFonts w:ascii="宋体" w:hAnsi="宋体" w:eastAsia="宋体" w:cs="宋体"/>
                <w:szCs w:val="21"/>
                <w:highlight w:val="none"/>
              </w:rPr>
            </w:pPr>
            <w:r>
              <w:rPr>
                <w:rFonts w:hint="eastAsia" w:ascii="宋体" w:hAnsi="宋体" w:eastAsia="宋体" w:cs="宋体"/>
                <w:szCs w:val="21"/>
                <w:highlight w:val="none"/>
              </w:rPr>
              <w:t>灯具垂直旋转角度：330°。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shd w:val="clear" w:color="auto" w:fill="auto"/>
            <w:vAlign w:val="center"/>
          </w:tcPr>
          <w:p>
            <w:pPr>
              <w:spacing w:line="276" w:lineRule="auto"/>
              <w:rPr>
                <w:rFonts w:ascii="宋体" w:hAnsi="宋体" w:eastAsia="宋体" w:cs="宋体"/>
                <w:b w:val="0"/>
                <w:bCs w:val="0"/>
                <w:szCs w:val="21"/>
                <w:highlight w:val="none"/>
              </w:rPr>
            </w:pPr>
            <w:r>
              <w:rPr>
                <w:rFonts w:hint="eastAsia" w:ascii="宋体" w:hAnsi="宋体" w:eastAsia="宋体" w:cs="宋体"/>
                <w:b/>
                <w:bCs/>
                <w:szCs w:val="21"/>
                <w:highlight w:val="none"/>
              </w:rPr>
              <w:t>（八）其他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1</w:t>
            </w:r>
          </w:p>
        </w:tc>
        <w:tc>
          <w:tcPr>
            <w:tcW w:w="4639" w:type="pct"/>
            <w:shd w:val="clear" w:color="auto" w:fill="auto"/>
          </w:tcPr>
          <w:p>
            <w:pPr>
              <w:rPr>
                <w:rFonts w:ascii="宋体" w:hAnsi="宋体" w:eastAsia="宋体" w:cs="宋体"/>
                <w:szCs w:val="21"/>
                <w:highlight w:val="none"/>
              </w:rPr>
            </w:pPr>
            <w:r>
              <w:rPr>
                <w:rFonts w:hint="eastAsia" w:ascii="宋体" w:hAnsi="宋体" w:eastAsia="宋体" w:cs="宋体"/>
                <w:szCs w:val="21"/>
                <w:highlight w:val="none"/>
              </w:rPr>
              <w:t>1.交车时应符合国家综合性消防救援车辆悬挂应急救援专用号牌的有关要求。</w:t>
            </w:r>
          </w:p>
          <w:p>
            <w:pPr>
              <w:rPr>
                <w:rFonts w:ascii="宋体" w:hAnsi="宋体" w:eastAsia="宋体" w:cs="宋体"/>
                <w:szCs w:val="21"/>
                <w:highlight w:val="none"/>
              </w:rPr>
            </w:pPr>
            <w:r>
              <w:rPr>
                <w:rFonts w:hint="eastAsia" w:ascii="宋体" w:hAnsi="宋体" w:eastAsia="宋体" w:cs="宋体"/>
                <w:szCs w:val="21"/>
                <w:highlight w:val="none"/>
              </w:rPr>
              <w:t>2.按照应急管理部消防局最新车辆喷涂标识规定对车身进行喷涂。</w:t>
            </w:r>
          </w:p>
          <w:p>
            <w:pPr>
              <w:rPr>
                <w:rFonts w:ascii="宋体" w:hAnsi="宋体" w:eastAsia="宋体" w:cs="宋体"/>
                <w:szCs w:val="21"/>
                <w:highlight w:val="none"/>
              </w:rPr>
            </w:pPr>
            <w:r>
              <w:rPr>
                <w:rFonts w:hint="eastAsia" w:ascii="宋体" w:hAnsi="宋体" w:eastAsia="宋体" w:cs="宋体"/>
                <w:szCs w:val="21"/>
                <w:highlight w:val="none"/>
              </w:rPr>
              <w:t>3.轮胎配有原装、原尺寸备胎。</w:t>
            </w:r>
          </w:p>
          <w:p>
            <w:pPr>
              <w:rPr>
                <w:rFonts w:ascii="宋体" w:hAnsi="宋体" w:eastAsia="宋体" w:cs="宋体"/>
                <w:szCs w:val="21"/>
                <w:highlight w:val="none"/>
              </w:rPr>
            </w:pPr>
            <w:r>
              <w:rPr>
                <w:rFonts w:hint="eastAsia" w:ascii="宋体" w:hAnsi="宋体" w:eastAsia="宋体" w:cs="宋体"/>
                <w:szCs w:val="21"/>
                <w:highlight w:val="none"/>
              </w:rPr>
              <w:t>4.随车器材满足GB7956.</w:t>
            </w:r>
            <w:r>
              <w:rPr>
                <w:rFonts w:ascii="宋体" w:hAnsi="宋体" w:eastAsia="宋体" w:cs="宋体"/>
                <w:szCs w:val="21"/>
                <w:highlight w:val="none"/>
              </w:rPr>
              <w:t>2</w:t>
            </w:r>
            <w:r>
              <w:rPr>
                <w:rFonts w:hint="eastAsia" w:ascii="宋体" w:hAnsi="宋体" w:eastAsia="宋体" w:cs="宋体"/>
                <w:szCs w:val="21"/>
                <w:highlight w:val="none"/>
              </w:rPr>
              <w:t>3-201</w:t>
            </w:r>
            <w:r>
              <w:rPr>
                <w:rFonts w:ascii="宋体" w:hAnsi="宋体" w:eastAsia="宋体" w:cs="宋体"/>
                <w:szCs w:val="21"/>
                <w:highlight w:val="none"/>
              </w:rPr>
              <w:t>9</w:t>
            </w:r>
            <w:r>
              <w:rPr>
                <w:rFonts w:hint="eastAsia" w:ascii="宋体" w:hAnsi="宋体" w:eastAsia="宋体" w:cs="宋体"/>
                <w:szCs w:val="21"/>
                <w:highlight w:val="none"/>
              </w:rPr>
              <w:t>标准中表</w:t>
            </w:r>
            <w:r>
              <w:rPr>
                <w:rFonts w:ascii="宋体" w:hAnsi="宋体" w:eastAsia="宋体" w:cs="宋体"/>
                <w:szCs w:val="21"/>
                <w:highlight w:val="none"/>
              </w:rPr>
              <w:t>2</w:t>
            </w:r>
            <w:r>
              <w:rPr>
                <w:rFonts w:hint="eastAsia" w:ascii="宋体" w:hAnsi="宋体" w:eastAsia="宋体" w:cs="宋体"/>
                <w:szCs w:val="21"/>
                <w:highlight w:val="none"/>
              </w:rPr>
              <w:t>《器材配备表》要求。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shd w:val="clear" w:color="auto" w:fill="auto"/>
            <w:vAlign w:val="center"/>
          </w:tcPr>
          <w:p>
            <w:pPr>
              <w:spacing w:line="276" w:lineRule="auto"/>
              <w:rPr>
                <w:rFonts w:ascii="宋体" w:hAnsi="宋体" w:cs="宋体"/>
                <w:b w:val="0"/>
                <w:bCs w:val="0"/>
                <w:sz w:val="24"/>
                <w:szCs w:val="24"/>
                <w:highlight w:val="none"/>
              </w:rPr>
            </w:pPr>
            <w:r>
              <w:rPr>
                <w:rFonts w:hint="eastAsia"/>
                <w:b/>
                <w:bCs/>
                <w:szCs w:val="21"/>
                <w:highlight w:val="none"/>
              </w:rPr>
              <w:t>（九）随车文件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auto"/>
            <w:vAlign w:val="center"/>
          </w:tcPr>
          <w:p>
            <w:pPr>
              <w:jc w:val="center"/>
              <w:rPr>
                <w:rFonts w:ascii="宋体" w:hAnsi="宋体" w:eastAsia="宋体" w:cs="宋体"/>
                <w:b/>
                <w:bCs/>
                <w:szCs w:val="21"/>
                <w:highlight w:val="none"/>
              </w:rPr>
            </w:pPr>
            <w:r>
              <w:rPr>
                <w:rFonts w:hint="eastAsia" w:ascii="宋体" w:hAnsi="宋体" w:eastAsia="宋体" w:cs="宋体"/>
                <w:b w:val="0"/>
                <w:bCs w:val="0"/>
                <w:szCs w:val="21"/>
                <w:highlight w:val="none"/>
              </w:rPr>
              <w:t>1</w:t>
            </w:r>
          </w:p>
        </w:tc>
        <w:tc>
          <w:tcPr>
            <w:tcW w:w="4639" w:type="pct"/>
            <w:shd w:val="clear" w:color="auto" w:fill="auto"/>
          </w:tcPr>
          <w:p>
            <w:pPr>
              <w:spacing w:line="310" w:lineRule="exact"/>
              <w:jc w:val="left"/>
              <w:rPr>
                <w:rFonts w:ascii="宋体" w:hAnsi="宋体" w:cs="宋体"/>
                <w:sz w:val="24"/>
                <w:szCs w:val="24"/>
                <w:highlight w:val="none"/>
              </w:rPr>
            </w:pPr>
            <w:r>
              <w:rPr>
                <w:highlight w:val="none"/>
              </w:rPr>
              <w:t>1</w:t>
            </w:r>
            <w:r>
              <w:rPr>
                <w:rFonts w:hint="eastAsia"/>
                <w:highlight w:val="none"/>
              </w:rPr>
              <w:t>.</w:t>
            </w:r>
            <w:r>
              <w:rPr>
                <w:highlight w:val="none"/>
              </w:rPr>
              <w:t>底盘操作手册</w:t>
            </w:r>
            <w:r>
              <w:rPr>
                <w:rFonts w:hint="eastAsia" w:ascii="宋体" w:hAnsi="宋体" w:cs="宋体"/>
                <w:sz w:val="24"/>
                <w:szCs w:val="24"/>
                <w:highlight w:val="none"/>
              </w:rPr>
              <w:t>（中文）、</w:t>
            </w:r>
            <w:r>
              <w:rPr>
                <w:highlight w:val="none"/>
              </w:rPr>
              <w:t>底盘维修手册及零部件目录</w:t>
            </w:r>
            <w:r>
              <w:rPr>
                <w:rFonts w:hint="eastAsia" w:ascii="宋体" w:hAnsi="宋体" w:cs="宋体"/>
                <w:sz w:val="24"/>
                <w:szCs w:val="24"/>
                <w:highlight w:val="none"/>
              </w:rPr>
              <w:t>（中文）。</w:t>
            </w:r>
          </w:p>
          <w:p>
            <w:pPr>
              <w:spacing w:line="310" w:lineRule="exact"/>
              <w:jc w:val="left"/>
              <w:rPr>
                <w:rFonts w:ascii="宋体" w:hAnsi="宋体" w:cs="宋体"/>
                <w:sz w:val="24"/>
                <w:szCs w:val="24"/>
                <w:highlight w:val="none"/>
              </w:rPr>
            </w:pPr>
            <w:r>
              <w:rPr>
                <w:highlight w:val="none"/>
              </w:rPr>
              <w:t>2</w:t>
            </w:r>
            <w:r>
              <w:rPr>
                <w:rFonts w:hint="eastAsia"/>
                <w:highlight w:val="none"/>
              </w:rPr>
              <w:t>.</w:t>
            </w:r>
            <w:r>
              <w:rPr>
                <w:highlight w:val="none"/>
              </w:rPr>
              <w:t>消防车电气原理图</w:t>
            </w:r>
            <w:r>
              <w:rPr>
                <w:rFonts w:hint="eastAsia"/>
                <w:highlight w:val="none"/>
              </w:rPr>
              <w:t>、</w:t>
            </w:r>
            <w:r>
              <w:rPr>
                <w:highlight w:val="none"/>
              </w:rPr>
              <w:t>消防车使用说明书</w:t>
            </w:r>
            <w:r>
              <w:rPr>
                <w:rFonts w:hint="eastAsia" w:ascii="宋体" w:hAnsi="宋体" w:cs="宋体"/>
                <w:sz w:val="24"/>
                <w:szCs w:val="24"/>
                <w:highlight w:val="none"/>
              </w:rPr>
              <w:t>（中文）。</w:t>
            </w:r>
          </w:p>
          <w:p>
            <w:pPr>
              <w:spacing w:line="310" w:lineRule="exact"/>
              <w:jc w:val="left"/>
              <w:rPr>
                <w:rFonts w:ascii="宋体" w:hAnsi="宋体" w:cs="宋体"/>
                <w:sz w:val="24"/>
                <w:szCs w:val="24"/>
                <w:highlight w:val="none"/>
              </w:rPr>
            </w:pPr>
            <w:r>
              <w:rPr>
                <w:highlight w:val="none"/>
              </w:rPr>
              <w:t>3</w:t>
            </w:r>
            <w:r>
              <w:rPr>
                <w:rFonts w:hint="eastAsia"/>
                <w:highlight w:val="none"/>
              </w:rPr>
              <w:t>.</w:t>
            </w:r>
            <w:r>
              <w:rPr>
                <w:highlight w:val="none"/>
              </w:rPr>
              <w:t>底盘质量保证书和售后服务说明书</w:t>
            </w:r>
            <w:r>
              <w:rPr>
                <w:rFonts w:hint="eastAsia"/>
                <w:highlight w:val="none"/>
              </w:rPr>
              <w:t>、</w:t>
            </w:r>
            <w:r>
              <w:rPr>
                <w:highlight w:val="none"/>
              </w:rPr>
              <w:t>底盘合格证</w:t>
            </w:r>
            <w:r>
              <w:rPr>
                <w:rFonts w:hint="eastAsia"/>
                <w:highlight w:val="none"/>
              </w:rPr>
              <w:t>、</w:t>
            </w:r>
            <w:r>
              <w:rPr>
                <w:highlight w:val="none"/>
              </w:rPr>
              <w:t>底盘随车工具清单</w:t>
            </w:r>
            <w:r>
              <w:rPr>
                <w:rFonts w:hint="eastAsia"/>
                <w:highlight w:val="none"/>
              </w:rPr>
              <w:t>。</w:t>
            </w:r>
          </w:p>
          <w:p>
            <w:pPr>
              <w:spacing w:line="310" w:lineRule="exact"/>
              <w:jc w:val="left"/>
              <w:rPr>
                <w:rFonts w:ascii="宋体" w:hAnsi="宋体" w:cs="宋体"/>
                <w:sz w:val="24"/>
                <w:szCs w:val="24"/>
                <w:highlight w:val="none"/>
              </w:rPr>
            </w:pPr>
            <w:r>
              <w:rPr>
                <w:highlight w:val="none"/>
              </w:rPr>
              <w:t>4.消防车维修、保养手册及零部件目录</w:t>
            </w:r>
            <w:r>
              <w:rPr>
                <w:rFonts w:hint="eastAsia"/>
                <w:highlight w:val="none"/>
              </w:rPr>
              <w:t>。</w:t>
            </w:r>
          </w:p>
          <w:p>
            <w:pPr>
              <w:spacing w:line="310" w:lineRule="exact"/>
              <w:jc w:val="left"/>
              <w:rPr>
                <w:rFonts w:ascii="宋体" w:hAnsi="宋体" w:cs="宋体"/>
                <w:sz w:val="24"/>
                <w:szCs w:val="24"/>
                <w:highlight w:val="none"/>
              </w:rPr>
            </w:pPr>
            <w:r>
              <w:rPr>
                <w:highlight w:val="none"/>
              </w:rPr>
              <w:t>5</w:t>
            </w:r>
            <w:r>
              <w:rPr>
                <w:rFonts w:hint="eastAsia"/>
                <w:highlight w:val="none"/>
              </w:rPr>
              <w:t>.</w:t>
            </w:r>
            <w:r>
              <w:rPr>
                <w:highlight w:val="none"/>
              </w:rPr>
              <w:t>消防车合格证</w:t>
            </w:r>
            <w:r>
              <w:rPr>
                <w:rFonts w:hint="eastAsia"/>
                <w:highlight w:val="none"/>
              </w:rPr>
              <w:t>。</w:t>
            </w:r>
          </w:p>
          <w:p>
            <w:pPr>
              <w:spacing w:line="310" w:lineRule="exact"/>
              <w:jc w:val="left"/>
              <w:rPr>
                <w:rFonts w:ascii="宋体" w:hAnsi="宋体" w:cs="宋体"/>
                <w:sz w:val="24"/>
                <w:szCs w:val="24"/>
                <w:highlight w:val="none"/>
              </w:rPr>
            </w:pPr>
            <w:r>
              <w:rPr>
                <w:highlight w:val="none"/>
              </w:rPr>
              <w:t>6</w:t>
            </w:r>
            <w:r>
              <w:rPr>
                <w:rFonts w:hint="eastAsia"/>
                <w:highlight w:val="none"/>
              </w:rPr>
              <w:t>.</w:t>
            </w:r>
            <w:r>
              <w:rPr>
                <w:highlight w:val="none"/>
              </w:rPr>
              <w:t>质量保证和售后服务承诺</w:t>
            </w:r>
            <w:r>
              <w:rPr>
                <w:rFonts w:hint="eastAsia"/>
                <w:highlight w:val="none"/>
              </w:rPr>
              <w:t>。</w:t>
            </w:r>
          </w:p>
          <w:p>
            <w:pPr>
              <w:spacing w:line="310" w:lineRule="exact"/>
              <w:jc w:val="left"/>
              <w:rPr>
                <w:rFonts w:ascii="宋体" w:hAnsi="宋体" w:cs="宋体"/>
                <w:sz w:val="24"/>
                <w:szCs w:val="24"/>
                <w:highlight w:val="none"/>
              </w:rPr>
            </w:pPr>
            <w:r>
              <w:rPr>
                <w:highlight w:val="none"/>
              </w:rPr>
              <w:t>7</w:t>
            </w:r>
            <w:r>
              <w:rPr>
                <w:rFonts w:hint="eastAsia"/>
                <w:highlight w:val="none"/>
              </w:rPr>
              <w:t>.</w:t>
            </w:r>
            <w:r>
              <w:rPr>
                <w:highlight w:val="none"/>
              </w:rPr>
              <w:t>消防车随车工具及易损件清单</w:t>
            </w:r>
            <w:r>
              <w:rPr>
                <w:rFonts w:hint="eastAsia"/>
                <w:highlight w:val="none"/>
              </w:rPr>
              <w:t>。</w:t>
            </w:r>
          </w:p>
          <w:p>
            <w:pPr>
              <w:spacing w:line="310" w:lineRule="exact"/>
              <w:jc w:val="left"/>
              <w:rPr>
                <w:rFonts w:ascii="宋体" w:hAnsi="宋体" w:cs="宋体"/>
                <w:sz w:val="24"/>
                <w:szCs w:val="24"/>
                <w:highlight w:val="none"/>
              </w:rPr>
            </w:pPr>
            <w:r>
              <w:rPr>
                <w:highlight w:val="none"/>
              </w:rPr>
              <w:t>8</w:t>
            </w:r>
            <w:r>
              <w:rPr>
                <w:rFonts w:hint="eastAsia"/>
                <w:highlight w:val="none"/>
              </w:rPr>
              <w:t>.</w:t>
            </w:r>
            <w:r>
              <w:rPr>
                <w:highlight w:val="none"/>
              </w:rPr>
              <w:t>所配总成及附件的合格证和使用说明书</w:t>
            </w:r>
            <w:r>
              <w:rPr>
                <w:rFonts w:hint="eastAsia"/>
                <w:highlight w:val="none"/>
              </w:rPr>
              <w:t>。</w:t>
            </w:r>
          </w:p>
          <w:p>
            <w:pPr>
              <w:spacing w:line="310" w:lineRule="exact"/>
              <w:jc w:val="left"/>
              <w:rPr>
                <w:rFonts w:ascii="宋体" w:hAnsi="宋体" w:cs="宋体"/>
                <w:sz w:val="24"/>
                <w:szCs w:val="24"/>
                <w:highlight w:val="none"/>
              </w:rPr>
            </w:pPr>
            <w:r>
              <w:rPr>
                <w:highlight w:val="none"/>
              </w:rPr>
              <w:t>9</w:t>
            </w:r>
            <w:r>
              <w:rPr>
                <w:rFonts w:hint="eastAsia"/>
                <w:highlight w:val="none"/>
              </w:rPr>
              <w:t>.</w:t>
            </w:r>
            <w:r>
              <w:rPr>
                <w:highlight w:val="none"/>
              </w:rPr>
              <w:t>供气系统的使用说明书及产品合格证</w:t>
            </w:r>
            <w:r>
              <w:rPr>
                <w:rFonts w:hint="eastAsia"/>
                <w:highlight w:val="none"/>
              </w:rPr>
              <w:t>。</w:t>
            </w:r>
          </w:p>
          <w:p>
            <w:pPr>
              <w:spacing w:line="310" w:lineRule="exact"/>
              <w:jc w:val="left"/>
              <w:rPr>
                <w:rFonts w:ascii="宋体" w:hAnsi="宋体" w:cs="宋体"/>
                <w:sz w:val="24"/>
                <w:szCs w:val="24"/>
                <w:highlight w:val="none"/>
              </w:rPr>
            </w:pPr>
            <w:r>
              <w:rPr>
                <w:highlight w:val="none"/>
              </w:rPr>
              <w:t>10</w:t>
            </w:r>
            <w:r>
              <w:rPr>
                <w:rFonts w:hint="eastAsia"/>
                <w:highlight w:val="none"/>
              </w:rPr>
              <w:t>.</w:t>
            </w:r>
            <w:r>
              <w:rPr>
                <w:highlight w:val="none"/>
              </w:rPr>
              <w:t>供气系统的管路系统原理图</w:t>
            </w:r>
            <w:r>
              <w:rPr>
                <w:rFonts w:hint="eastAsia"/>
                <w:highlight w:val="none"/>
              </w:rPr>
              <w:t>。</w:t>
            </w:r>
          </w:p>
          <w:p>
            <w:pPr>
              <w:spacing w:line="310" w:lineRule="exact"/>
              <w:jc w:val="left"/>
              <w:rPr>
                <w:rFonts w:ascii="宋体" w:hAnsi="宋体" w:cs="宋体"/>
                <w:sz w:val="24"/>
                <w:szCs w:val="24"/>
                <w:highlight w:val="none"/>
              </w:rPr>
            </w:pPr>
            <w:r>
              <w:rPr>
                <w:highlight w:val="none"/>
              </w:rPr>
              <w:t>11</w:t>
            </w:r>
            <w:r>
              <w:rPr>
                <w:rFonts w:hint="eastAsia"/>
                <w:highlight w:val="none"/>
              </w:rPr>
              <w:t>.</w:t>
            </w:r>
            <w:r>
              <w:rPr>
                <w:highlight w:val="none"/>
              </w:rPr>
              <w:t>钢瓶生产制造许可证和每只钢瓶的检验报告</w:t>
            </w:r>
            <w:r>
              <w:rPr>
                <w:rFonts w:hint="eastAsia"/>
                <w:highlight w:val="none"/>
              </w:rPr>
              <w:t>。</w:t>
            </w:r>
          </w:p>
          <w:p>
            <w:pPr>
              <w:spacing w:line="310" w:lineRule="exact"/>
              <w:jc w:val="left"/>
              <w:rPr>
                <w:rFonts w:ascii="宋体" w:hAnsi="宋体" w:cs="宋体"/>
                <w:sz w:val="24"/>
                <w:szCs w:val="24"/>
                <w:highlight w:val="none"/>
              </w:rPr>
            </w:pPr>
            <w:r>
              <w:rPr>
                <w:highlight w:val="none"/>
              </w:rPr>
              <w:t>12</w:t>
            </w:r>
            <w:r>
              <w:rPr>
                <w:rFonts w:hint="eastAsia"/>
                <w:highlight w:val="none"/>
              </w:rPr>
              <w:t>.</w:t>
            </w:r>
            <w:r>
              <w:rPr>
                <w:highlight w:val="none"/>
              </w:rPr>
              <w:t>空压机使用说明书、维修保养手册和零部件目录及产品合格证</w:t>
            </w:r>
            <w:r>
              <w:rPr>
                <w:rFonts w:hint="eastAsia"/>
                <w:highlight w:val="none"/>
              </w:rPr>
              <w:t>。</w:t>
            </w:r>
          </w:p>
          <w:p>
            <w:pPr>
              <w:spacing w:line="310" w:lineRule="exact"/>
              <w:jc w:val="left"/>
              <w:rPr>
                <w:rFonts w:ascii="宋体" w:hAnsi="宋体" w:cs="宋体"/>
                <w:sz w:val="24"/>
                <w:szCs w:val="24"/>
                <w:highlight w:val="none"/>
              </w:rPr>
            </w:pPr>
            <w:r>
              <w:rPr>
                <w:highlight w:val="none"/>
              </w:rPr>
              <w:t>13</w:t>
            </w:r>
            <w:r>
              <w:rPr>
                <w:rFonts w:hint="eastAsia"/>
                <w:highlight w:val="none"/>
              </w:rPr>
              <w:t>.</w:t>
            </w:r>
            <w:r>
              <w:rPr>
                <w:highlight w:val="none"/>
              </w:rPr>
              <w:t>空气净化系统维修保养手册和零部件目录及产品合格证</w:t>
            </w:r>
            <w:r>
              <w:rPr>
                <w:rFonts w:hint="eastAsia"/>
                <w:highlight w:val="none"/>
              </w:rPr>
              <w:t>。</w:t>
            </w:r>
          </w:p>
          <w:p>
            <w:pPr>
              <w:spacing w:line="310" w:lineRule="exact"/>
              <w:jc w:val="left"/>
              <w:rPr>
                <w:rFonts w:ascii="宋体" w:hAnsi="宋体" w:cs="宋体"/>
                <w:sz w:val="24"/>
                <w:szCs w:val="24"/>
                <w:highlight w:val="none"/>
              </w:rPr>
            </w:pPr>
            <w:r>
              <w:rPr>
                <w:highlight w:val="none"/>
              </w:rPr>
              <w:t>14</w:t>
            </w:r>
            <w:r>
              <w:rPr>
                <w:rFonts w:hint="eastAsia"/>
                <w:highlight w:val="none"/>
              </w:rPr>
              <w:t>.</w:t>
            </w:r>
            <w:r>
              <w:rPr>
                <w:highlight w:val="none"/>
              </w:rPr>
              <w:t>充气防护箱使用说明书、维修保养手册和零部件目录及产品合格证</w:t>
            </w:r>
            <w:r>
              <w:rPr>
                <w:rFonts w:hint="eastAsia"/>
                <w:highlight w:val="none"/>
              </w:rPr>
              <w:t>。</w:t>
            </w:r>
          </w:p>
          <w:p>
            <w:pPr>
              <w:spacing w:line="310" w:lineRule="exact"/>
              <w:jc w:val="left"/>
              <w:rPr>
                <w:rFonts w:ascii="宋体" w:hAnsi="宋体" w:cs="宋体"/>
                <w:sz w:val="24"/>
                <w:szCs w:val="24"/>
                <w:highlight w:val="none"/>
              </w:rPr>
            </w:pPr>
            <w:r>
              <w:rPr>
                <w:highlight w:val="none"/>
              </w:rPr>
              <w:t>15</w:t>
            </w:r>
            <w:r>
              <w:rPr>
                <w:rFonts w:hint="eastAsia"/>
                <w:highlight w:val="none"/>
              </w:rPr>
              <w:t>.</w:t>
            </w:r>
            <w:r>
              <w:rPr>
                <w:highlight w:val="none"/>
              </w:rPr>
              <w:t>空压机动力系统使用说明书、维修保养手册和零部件目录及产品合格证</w:t>
            </w:r>
            <w:r>
              <w:rPr>
                <w:rFonts w:hint="eastAsia"/>
                <w:highlight w:val="none"/>
              </w:rPr>
              <w:t>。</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RlODE4YjFkYWQ0YTY4ODg2NzUwODFhMDVlY2JlMzYifQ=="/>
  </w:docVars>
  <w:rsids>
    <w:rsidRoot w:val="6AFA53D9"/>
    <w:rsid w:val="0000146C"/>
    <w:rsid w:val="002478BF"/>
    <w:rsid w:val="00283DF2"/>
    <w:rsid w:val="004B5329"/>
    <w:rsid w:val="005923F5"/>
    <w:rsid w:val="005C3D9F"/>
    <w:rsid w:val="00792523"/>
    <w:rsid w:val="00881338"/>
    <w:rsid w:val="008F4D97"/>
    <w:rsid w:val="009565EA"/>
    <w:rsid w:val="00964812"/>
    <w:rsid w:val="00966123"/>
    <w:rsid w:val="00987818"/>
    <w:rsid w:val="009F495A"/>
    <w:rsid w:val="00A616F1"/>
    <w:rsid w:val="00BC579E"/>
    <w:rsid w:val="00BC7E2F"/>
    <w:rsid w:val="00C57DC7"/>
    <w:rsid w:val="00C7115C"/>
    <w:rsid w:val="00C962A4"/>
    <w:rsid w:val="00D1553F"/>
    <w:rsid w:val="00D269AA"/>
    <w:rsid w:val="00E01539"/>
    <w:rsid w:val="00ED2E63"/>
    <w:rsid w:val="00F030B8"/>
    <w:rsid w:val="00F95EDA"/>
    <w:rsid w:val="0136557F"/>
    <w:rsid w:val="0B224623"/>
    <w:rsid w:val="0C457C9B"/>
    <w:rsid w:val="0D6A09CB"/>
    <w:rsid w:val="0EA856C4"/>
    <w:rsid w:val="13F41DC8"/>
    <w:rsid w:val="14CC5443"/>
    <w:rsid w:val="16C76316"/>
    <w:rsid w:val="16EB79BF"/>
    <w:rsid w:val="18A74A5D"/>
    <w:rsid w:val="19866027"/>
    <w:rsid w:val="1C9A47BD"/>
    <w:rsid w:val="1CB4652E"/>
    <w:rsid w:val="1EC57AEB"/>
    <w:rsid w:val="2007060B"/>
    <w:rsid w:val="2253328E"/>
    <w:rsid w:val="252873AC"/>
    <w:rsid w:val="25D94FF5"/>
    <w:rsid w:val="28DB0637"/>
    <w:rsid w:val="2A3A6800"/>
    <w:rsid w:val="2C085510"/>
    <w:rsid w:val="2DEE053E"/>
    <w:rsid w:val="2E8D37F9"/>
    <w:rsid w:val="30657EFA"/>
    <w:rsid w:val="3067426E"/>
    <w:rsid w:val="329445CF"/>
    <w:rsid w:val="33323F9F"/>
    <w:rsid w:val="335D2A64"/>
    <w:rsid w:val="37400A6A"/>
    <w:rsid w:val="38330F63"/>
    <w:rsid w:val="3A7945E6"/>
    <w:rsid w:val="3B7C58DD"/>
    <w:rsid w:val="3FD82509"/>
    <w:rsid w:val="403D681D"/>
    <w:rsid w:val="43BE7E30"/>
    <w:rsid w:val="44A75730"/>
    <w:rsid w:val="45402478"/>
    <w:rsid w:val="46134143"/>
    <w:rsid w:val="48A73C3A"/>
    <w:rsid w:val="49184B37"/>
    <w:rsid w:val="4EF456FF"/>
    <w:rsid w:val="50724DD5"/>
    <w:rsid w:val="510F6820"/>
    <w:rsid w:val="51F20DC8"/>
    <w:rsid w:val="5F146BB9"/>
    <w:rsid w:val="607E12CC"/>
    <w:rsid w:val="66756CCD"/>
    <w:rsid w:val="6AFA53D9"/>
    <w:rsid w:val="73BE6EE0"/>
    <w:rsid w:val="7435289D"/>
    <w:rsid w:val="77FE3724"/>
    <w:rsid w:val="7C2E3A90"/>
    <w:rsid w:val="7D983576"/>
    <w:rsid w:val="7E0B2A0A"/>
    <w:rsid w:val="7E343A43"/>
    <w:rsid w:val="7EBF7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7"/>
    <w:semiHidden/>
    <w:unhideWhenUsed/>
    <w:qFormat/>
    <w:uiPriority w:val="0"/>
    <w:pPr>
      <w:keepNext/>
      <w:keepLines/>
      <w:outlineLvl w:val="1"/>
    </w:pPr>
    <w:rPr>
      <w:rFonts w:ascii="Arial" w:hAnsi="Arial" w:eastAsia="宋体" w:cs="宋体"/>
      <w:b/>
      <w:sz w:val="28"/>
      <w:lang w:val="zh-CN" w:bidi="zh-CN"/>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标题 2 字符"/>
    <w:link w:val="2"/>
    <w:qFormat/>
    <w:uiPriority w:val="0"/>
    <w:rPr>
      <w:rFonts w:ascii="Arial" w:hAnsi="Arial" w:eastAsia="宋体" w:cs="宋体"/>
      <w:bCs/>
      <w:kern w:val="0"/>
      <w:sz w:val="28"/>
      <w:szCs w:val="32"/>
    </w:rPr>
  </w:style>
  <w:style w:type="table" w:customStyle="1" w:styleId="8">
    <w:name w:val="无格式表格 11"/>
    <w:basedOn w:val="5"/>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styleId="9">
    <w:name w:val="List Paragraph"/>
    <w:basedOn w:val="1"/>
    <w:qFormat/>
    <w:uiPriority w:val="34"/>
    <w:pPr>
      <w:ind w:firstLine="420" w:firstLineChars="200"/>
    </w:pPr>
  </w:style>
  <w:style w:type="table" w:customStyle="1" w:styleId="10">
    <w:name w:val="网格型浅色1"/>
    <w:basedOn w:val="5"/>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11">
    <w:name w:val="页眉 字符"/>
    <w:basedOn w:val="6"/>
    <w:link w:val="4"/>
    <w:qFormat/>
    <w:uiPriority w:val="0"/>
    <w:rPr>
      <w:kern w:val="2"/>
      <w:sz w:val="18"/>
      <w:szCs w:val="18"/>
    </w:rPr>
  </w:style>
  <w:style w:type="character" w:customStyle="1" w:styleId="12">
    <w:name w:val="页脚 字符"/>
    <w:basedOn w:val="6"/>
    <w:link w:val="3"/>
    <w:qFormat/>
    <w:uiPriority w:val="0"/>
    <w:rPr>
      <w:kern w:val="2"/>
      <w:sz w:val="18"/>
      <w:szCs w:val="18"/>
    </w:rPr>
  </w:style>
  <w:style w:type="character" w:customStyle="1" w:styleId="13">
    <w:name w:val="Body text|2 + PMingLiU"/>
    <w:unhideWhenUsed/>
    <w:qFormat/>
    <w:uiPriority w:val="0"/>
    <w:rPr>
      <w:rFonts w:ascii="PMingLiU" w:hAnsi="PMingLiU" w:eastAsia="PMingLiU" w:cs="PMingLiU"/>
      <w:color w:val="000000"/>
      <w:spacing w:val="0"/>
      <w:w w:val="100"/>
      <w:position w:val="0"/>
      <w:sz w:val="36"/>
      <w:szCs w:val="36"/>
      <w:lang w:val="zh-CN" w:eastAsia="zh-CN" w:bidi="zh-CN"/>
    </w:rPr>
  </w:style>
  <w:style w:type="character" w:customStyle="1" w:styleId="14">
    <w:name w:val="Body text|2_"/>
    <w:link w:val="15"/>
    <w:qFormat/>
    <w:uiPriority w:val="0"/>
    <w:rPr>
      <w:rFonts w:ascii="Calibri" w:hAnsi="Calibri"/>
      <w:szCs w:val="22"/>
      <w:shd w:val="clear" w:color="auto" w:fill="FFFFFF"/>
    </w:rPr>
  </w:style>
  <w:style w:type="paragraph" w:customStyle="1" w:styleId="15">
    <w:name w:val="Body text|2"/>
    <w:basedOn w:val="1"/>
    <w:link w:val="14"/>
    <w:qFormat/>
    <w:uiPriority w:val="0"/>
    <w:pPr>
      <w:shd w:val="clear" w:color="auto" w:fill="FFFFFF"/>
    </w:pPr>
    <w:rPr>
      <w:rFonts w:ascii="Calibri" w:hAnsi="Calibri" w:eastAsia="宋体" w:cs="Times New Roman"/>
      <w:kern w:val="0"/>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1898</Words>
  <Characters>2113</Characters>
  <Lines>16</Lines>
  <Paragraphs>4</Paragraphs>
  <TotalTime>56</TotalTime>
  <ScaleCrop>false</ScaleCrop>
  <LinksUpToDate>false</LinksUpToDate>
  <CharactersWithSpaces>2153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2022-03-03T02:06:00Z</dcterms:created>
  <dc:creator>0.5%清醒</dc:creator>
  <cp:lastModifiedBy>陆搜</cp:lastModifiedBy>
  <dcterms:modified xsi:type="dcterms:W3CDTF">2023-06-09T09:51:21Z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EB7DF34E9D2C4545BBAB79B655DCAF7C</vt:lpwstr>
  </property>
</Properties>
</file>